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E97F9" w14:textId="77777777" w:rsidR="00F83E68" w:rsidRDefault="00F83E68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0"/>
      </w:tblGrid>
      <w:tr w:rsidR="00F17566" w14:paraId="42A2281E" w14:textId="77777777" w:rsidTr="00C17F6D">
        <w:tc>
          <w:tcPr>
            <w:tcW w:w="9830" w:type="dxa"/>
          </w:tcPr>
          <w:p w14:paraId="2BD05202" w14:textId="77777777" w:rsidR="00F17566" w:rsidRPr="00EC38EA" w:rsidRDefault="00F17566" w:rsidP="00C17F6D">
            <w:pPr>
              <w:pStyle w:val="BodyText"/>
              <w:rPr>
                <w:b/>
                <w:sz w:val="36"/>
                <w:szCs w:val="36"/>
              </w:rPr>
            </w:pPr>
            <w:bookmarkStart w:id="0" w:name="_Hlk118292438"/>
            <w:r w:rsidRPr="00EC38EA">
              <w:rPr>
                <w:b/>
                <w:sz w:val="36"/>
                <w:szCs w:val="36"/>
              </w:rPr>
              <w:t>Freeboard Maritime – Marine Professional Indemnity</w:t>
            </w:r>
          </w:p>
          <w:p w14:paraId="71E6E9BF" w14:textId="77777777" w:rsidR="00F17566" w:rsidRPr="00F93743" w:rsidRDefault="00F17566" w:rsidP="00C17F6D">
            <w:pPr>
              <w:pStyle w:val="BodyText"/>
              <w:rPr>
                <w:bCs/>
                <w:sz w:val="20"/>
              </w:rPr>
            </w:pPr>
            <w:r w:rsidRPr="00EC38EA">
              <w:rPr>
                <w:bCs/>
                <w:sz w:val="36"/>
                <w:szCs w:val="36"/>
              </w:rPr>
              <w:t>Target Market Statement</w:t>
            </w:r>
          </w:p>
        </w:tc>
      </w:tr>
      <w:tr w:rsidR="00F17566" w14:paraId="630693D9" w14:textId="77777777" w:rsidTr="00C17F6D">
        <w:tc>
          <w:tcPr>
            <w:tcW w:w="9830" w:type="dxa"/>
          </w:tcPr>
          <w:p w14:paraId="61E9D7BF" w14:textId="77777777" w:rsidR="00F17566" w:rsidRDefault="00F17566" w:rsidP="00C17F6D">
            <w:pPr>
              <w:pStyle w:val="BodyText"/>
              <w:rPr>
                <w:b/>
                <w:sz w:val="20"/>
              </w:rPr>
            </w:pPr>
          </w:p>
        </w:tc>
      </w:tr>
      <w:tr w:rsidR="00F17566" w14:paraId="0353AEF7" w14:textId="77777777" w:rsidTr="00C17F6D">
        <w:tc>
          <w:tcPr>
            <w:tcW w:w="9830" w:type="dxa"/>
          </w:tcPr>
          <w:p w14:paraId="0E62E764" w14:textId="77777777" w:rsidR="00F17566" w:rsidRPr="00CF533E" w:rsidRDefault="00F17566" w:rsidP="00C17F6D">
            <w:pPr>
              <w:pStyle w:val="BodyText"/>
              <w:rPr>
                <w:b/>
                <w:sz w:val="20"/>
              </w:rPr>
            </w:pPr>
            <w:r w:rsidRPr="00CF533E">
              <w:rPr>
                <w:b/>
                <w:sz w:val="20"/>
              </w:rPr>
              <w:t>What is this product?</w:t>
            </w:r>
          </w:p>
        </w:tc>
      </w:tr>
      <w:tr w:rsidR="00F17566" w14:paraId="11727336" w14:textId="77777777" w:rsidTr="00C17F6D">
        <w:tc>
          <w:tcPr>
            <w:tcW w:w="9830" w:type="dxa"/>
          </w:tcPr>
          <w:p w14:paraId="3C6BDFB8" w14:textId="77777777" w:rsidR="00F17566" w:rsidRDefault="00F17566" w:rsidP="00C17F6D">
            <w:pPr>
              <w:pStyle w:val="BodyText"/>
              <w:rPr>
                <w:b/>
                <w:sz w:val="20"/>
              </w:rPr>
            </w:pPr>
          </w:p>
        </w:tc>
      </w:tr>
      <w:tr w:rsidR="00F17566" w14:paraId="2F5AD80F" w14:textId="77777777" w:rsidTr="00C17F6D">
        <w:tc>
          <w:tcPr>
            <w:tcW w:w="9830" w:type="dxa"/>
          </w:tcPr>
          <w:p w14:paraId="6EBA8F2B" w14:textId="77777777" w:rsidR="00F17566" w:rsidRPr="00C02735" w:rsidRDefault="00F17566" w:rsidP="00C17F6D">
            <w:pPr>
              <w:pStyle w:val="BodyText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68631A">
              <w:rPr>
                <w:bCs/>
                <w:sz w:val="20"/>
              </w:rPr>
              <w:t>This is a commercial insurance product suitable for a range of customers from SMEs</w:t>
            </w:r>
            <w:r>
              <w:rPr>
                <w:bCs/>
                <w:sz w:val="20"/>
              </w:rPr>
              <w:t xml:space="preserve"> to large </w:t>
            </w:r>
            <w:r w:rsidRPr="00C02735">
              <w:rPr>
                <w:bCs/>
                <w:sz w:val="20"/>
              </w:rPr>
              <w:t xml:space="preserve">multinational corporations and (re)insurers. </w:t>
            </w:r>
          </w:p>
          <w:p w14:paraId="06135970" w14:textId="77777777" w:rsidR="00F17566" w:rsidRPr="0068631A" w:rsidRDefault="00F17566" w:rsidP="00C17F6D">
            <w:pPr>
              <w:pStyle w:val="BodyText"/>
              <w:numPr>
                <w:ilvl w:val="0"/>
                <w:numId w:val="6"/>
              </w:numPr>
              <w:rPr>
                <w:bCs/>
                <w:sz w:val="20"/>
              </w:rPr>
            </w:pPr>
            <w:r w:rsidRPr="00C02735">
              <w:rPr>
                <w:bCs/>
                <w:sz w:val="20"/>
              </w:rPr>
              <w:t>This is a market recognised product which has been sold/purchased for many years.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F17566" w14:paraId="1232D6CB" w14:textId="77777777" w:rsidTr="00C17F6D">
        <w:tc>
          <w:tcPr>
            <w:tcW w:w="9830" w:type="dxa"/>
          </w:tcPr>
          <w:p w14:paraId="4B1F7E08" w14:textId="77777777" w:rsidR="00F17566" w:rsidRDefault="00F17566" w:rsidP="00C17F6D">
            <w:pPr>
              <w:pStyle w:val="BodyText"/>
              <w:rPr>
                <w:b/>
                <w:sz w:val="20"/>
              </w:rPr>
            </w:pPr>
          </w:p>
        </w:tc>
      </w:tr>
      <w:tr w:rsidR="00F17566" w14:paraId="5FAE5DEF" w14:textId="77777777" w:rsidTr="00C17F6D">
        <w:tc>
          <w:tcPr>
            <w:tcW w:w="9830" w:type="dxa"/>
          </w:tcPr>
          <w:p w14:paraId="4366F413" w14:textId="77777777" w:rsidR="00F17566" w:rsidRPr="00E736A6" w:rsidRDefault="00F17566" w:rsidP="00C17F6D">
            <w:pPr>
              <w:pStyle w:val="BodyText"/>
              <w:rPr>
                <w:b/>
                <w:sz w:val="20"/>
              </w:rPr>
            </w:pPr>
            <w:r w:rsidRPr="00E736A6">
              <w:rPr>
                <w:b/>
                <w:sz w:val="20"/>
              </w:rPr>
              <w:t>What customer need is met by this product?</w:t>
            </w:r>
          </w:p>
        </w:tc>
      </w:tr>
      <w:tr w:rsidR="00F17566" w14:paraId="73EAA38E" w14:textId="77777777" w:rsidTr="00C17F6D">
        <w:tc>
          <w:tcPr>
            <w:tcW w:w="9830" w:type="dxa"/>
          </w:tcPr>
          <w:p w14:paraId="3F567C48" w14:textId="77777777" w:rsidR="00F17566" w:rsidRDefault="00F17566" w:rsidP="00C17F6D">
            <w:pPr>
              <w:pStyle w:val="BodyText"/>
              <w:rPr>
                <w:b/>
                <w:sz w:val="20"/>
              </w:rPr>
            </w:pPr>
          </w:p>
        </w:tc>
      </w:tr>
      <w:tr w:rsidR="00F17566" w14:paraId="72E2C59B" w14:textId="77777777" w:rsidTr="00C17F6D">
        <w:tc>
          <w:tcPr>
            <w:tcW w:w="9830" w:type="dxa"/>
          </w:tcPr>
          <w:p w14:paraId="0B9170C8" w14:textId="24A95B28" w:rsidR="00F17566" w:rsidRPr="00A9352A" w:rsidRDefault="00F17566" w:rsidP="00C17F6D">
            <w:pPr>
              <w:pStyle w:val="BodyText"/>
              <w:numPr>
                <w:ilvl w:val="0"/>
                <w:numId w:val="7"/>
              </w:numPr>
              <w:rPr>
                <w:b/>
                <w:sz w:val="20"/>
              </w:rPr>
            </w:pPr>
            <w:r w:rsidRPr="0034643E">
              <w:rPr>
                <w:bCs/>
                <w:sz w:val="20"/>
              </w:rPr>
              <w:t>Freeboard Maritime’s Professional Indemnity Insurance protects</w:t>
            </w:r>
            <w:r>
              <w:rPr>
                <w:bCs/>
                <w:sz w:val="20"/>
              </w:rPr>
              <w:t xml:space="preserve"> </w:t>
            </w:r>
            <w:r w:rsidRPr="0034643E">
              <w:rPr>
                <w:bCs/>
                <w:sz w:val="20"/>
              </w:rPr>
              <w:t>companies</w:t>
            </w:r>
            <w:r>
              <w:rPr>
                <w:bCs/>
                <w:sz w:val="20"/>
              </w:rPr>
              <w:t xml:space="preserve"> </w:t>
            </w:r>
            <w:r w:rsidRPr="0034643E">
              <w:rPr>
                <w:bCs/>
                <w:sz w:val="20"/>
              </w:rPr>
              <w:t xml:space="preserve">and individuals within the maritime industry from allegations and claims made by customers or third parties arising from negligence, errors or omissions </w:t>
            </w:r>
            <w:proofErr w:type="gramStart"/>
            <w:r w:rsidRPr="0034643E">
              <w:rPr>
                <w:bCs/>
                <w:sz w:val="20"/>
              </w:rPr>
              <w:t>in the course of</w:t>
            </w:r>
            <w:proofErr w:type="gramEnd"/>
            <w:r w:rsidRPr="0034643E">
              <w:rPr>
                <w:bCs/>
                <w:sz w:val="20"/>
              </w:rPr>
              <w:t xml:space="preserve"> performing their specialist professional services.</w:t>
            </w:r>
          </w:p>
          <w:p w14:paraId="65A0553D" w14:textId="77777777" w:rsidR="00F17566" w:rsidRDefault="00F17566" w:rsidP="00C17F6D">
            <w:pPr>
              <w:pStyle w:val="BodyText"/>
              <w:numPr>
                <w:ilvl w:val="0"/>
                <w:numId w:val="7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If included, i</w:t>
            </w:r>
            <w:r w:rsidRPr="001B38CA">
              <w:rPr>
                <w:bCs/>
                <w:sz w:val="20"/>
              </w:rPr>
              <w:t xml:space="preserve">t also </w:t>
            </w:r>
            <w:r>
              <w:rPr>
                <w:bCs/>
                <w:sz w:val="20"/>
              </w:rPr>
              <w:t>includes Fines and Duties Liability Insurance which provides protection in</w:t>
            </w:r>
            <w:r w:rsidRPr="001B38CA">
              <w:rPr>
                <w:bCs/>
                <w:sz w:val="20"/>
              </w:rPr>
              <w:t xml:space="preserve"> the event of any unintentional breach of any regulation, legal or statutory provision resulting in the company receiving a fine or other form of penalty.</w:t>
            </w:r>
          </w:p>
          <w:p w14:paraId="52F2E1EC" w14:textId="77777777" w:rsidR="00F17566" w:rsidRDefault="00F17566" w:rsidP="00C17F6D">
            <w:pPr>
              <w:pStyle w:val="BodyText"/>
              <w:numPr>
                <w:ilvl w:val="0"/>
                <w:numId w:val="7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If included, it also includes Third Party Legal Liability Insurance which provides cover </w:t>
            </w:r>
            <w:r w:rsidRPr="00682C17">
              <w:rPr>
                <w:bCs/>
                <w:sz w:val="20"/>
              </w:rPr>
              <w:t>in the event the Insured becomes liable to a third party with whom they do not have a contractual obligation whilst providing their professional services, including bodily injury to a third party and physical loss or damage to third party</w:t>
            </w:r>
            <w:r>
              <w:rPr>
                <w:bCs/>
                <w:sz w:val="20"/>
              </w:rPr>
              <w:t xml:space="preserve"> </w:t>
            </w:r>
            <w:r w:rsidRPr="00682C17">
              <w:rPr>
                <w:bCs/>
                <w:sz w:val="20"/>
              </w:rPr>
              <w:t>property</w:t>
            </w:r>
            <w:r>
              <w:rPr>
                <w:bCs/>
                <w:sz w:val="20"/>
              </w:rPr>
              <w:t>.</w:t>
            </w:r>
          </w:p>
          <w:p w14:paraId="4AD1EFA1" w14:textId="77777777" w:rsidR="00F17566" w:rsidRPr="001B38CA" w:rsidRDefault="00F17566" w:rsidP="00C17F6D">
            <w:pPr>
              <w:pStyle w:val="BodyText"/>
              <w:numPr>
                <w:ilvl w:val="0"/>
                <w:numId w:val="7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Furthermore, c</w:t>
            </w:r>
            <w:r w:rsidRPr="00682C17">
              <w:rPr>
                <w:bCs/>
                <w:sz w:val="20"/>
              </w:rPr>
              <w:t>over is provided for any expenses incurred in investigating, defending or mitigating a claim.</w:t>
            </w:r>
          </w:p>
        </w:tc>
      </w:tr>
      <w:tr w:rsidR="00F17566" w14:paraId="72D62D29" w14:textId="77777777" w:rsidTr="00C17F6D">
        <w:tc>
          <w:tcPr>
            <w:tcW w:w="9830" w:type="dxa"/>
          </w:tcPr>
          <w:p w14:paraId="00C3CE83" w14:textId="77777777" w:rsidR="00F17566" w:rsidRDefault="00F17566" w:rsidP="00C17F6D">
            <w:pPr>
              <w:pStyle w:val="BodyText"/>
              <w:rPr>
                <w:b/>
                <w:sz w:val="20"/>
              </w:rPr>
            </w:pPr>
          </w:p>
        </w:tc>
      </w:tr>
      <w:tr w:rsidR="00F17566" w14:paraId="242A8AB3" w14:textId="77777777" w:rsidTr="00C17F6D">
        <w:tc>
          <w:tcPr>
            <w:tcW w:w="9830" w:type="dxa"/>
          </w:tcPr>
          <w:p w14:paraId="1D8F793B" w14:textId="77777777" w:rsidR="00F17566" w:rsidRDefault="00F17566" w:rsidP="00C17F6D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Who is the product designed for?</w:t>
            </w:r>
          </w:p>
        </w:tc>
      </w:tr>
      <w:tr w:rsidR="00F17566" w14:paraId="1F149013" w14:textId="77777777" w:rsidTr="00C17F6D">
        <w:tc>
          <w:tcPr>
            <w:tcW w:w="9830" w:type="dxa"/>
          </w:tcPr>
          <w:p w14:paraId="0F17CCB2" w14:textId="77777777" w:rsidR="00F17566" w:rsidRDefault="00F17566" w:rsidP="00C17F6D">
            <w:pPr>
              <w:pStyle w:val="BodyText"/>
              <w:rPr>
                <w:b/>
                <w:sz w:val="20"/>
              </w:rPr>
            </w:pPr>
          </w:p>
        </w:tc>
      </w:tr>
      <w:tr w:rsidR="00F17566" w14:paraId="5B7D4156" w14:textId="77777777" w:rsidTr="00C17F6D">
        <w:tc>
          <w:tcPr>
            <w:tcW w:w="9830" w:type="dxa"/>
          </w:tcPr>
          <w:p w14:paraId="72E7E059" w14:textId="77777777" w:rsidR="00F17566" w:rsidRDefault="00F17566" w:rsidP="00C17F6D">
            <w:pPr>
              <w:pStyle w:val="BodyText"/>
              <w:numPr>
                <w:ilvl w:val="0"/>
                <w:numId w:val="8"/>
              </w:numPr>
              <w:rPr>
                <w:bCs/>
                <w:sz w:val="20"/>
              </w:rPr>
            </w:pPr>
            <w:r w:rsidRPr="00721A45">
              <w:rPr>
                <w:bCs/>
                <w:sz w:val="20"/>
              </w:rPr>
              <w:t xml:space="preserve">This product is designed for companies and individuals within the maritime industry providing professional services. </w:t>
            </w:r>
          </w:p>
          <w:p w14:paraId="4496A00E" w14:textId="28D8F025" w:rsidR="00F17566" w:rsidRDefault="00F17566" w:rsidP="00C17F6D">
            <w:pPr>
              <w:pStyle w:val="BodyText"/>
              <w:numPr>
                <w:ilvl w:val="0"/>
                <w:numId w:val="8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The target market includes, but are not limited to; </w:t>
            </w:r>
            <w:r w:rsidRPr="007A4DE5">
              <w:rPr>
                <w:bCs/>
                <w:sz w:val="20"/>
              </w:rPr>
              <w:t>Ship Brokers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Ship Managers</w:t>
            </w:r>
            <w:r>
              <w:rPr>
                <w:bCs/>
                <w:sz w:val="20"/>
              </w:rPr>
              <w:t>, S</w:t>
            </w:r>
            <w:r w:rsidRPr="007A4DE5">
              <w:rPr>
                <w:bCs/>
                <w:sz w:val="20"/>
              </w:rPr>
              <w:t>hip Agents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Yacht Managers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Yacht Brokers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Marine Surveyors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Marine Consultants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Marine Pilots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Ship Agents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Naval Architects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Marine Engineering Consultants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New Build Supervisors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Bunker Brokers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Crew Agents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Crew managers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Loss Adjusters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Classification Societies</w:t>
            </w:r>
            <w:r>
              <w:rPr>
                <w:bCs/>
                <w:sz w:val="20"/>
              </w:rPr>
              <w:t xml:space="preserve">, </w:t>
            </w:r>
            <w:r w:rsidRPr="007A4DE5">
              <w:rPr>
                <w:bCs/>
                <w:sz w:val="20"/>
              </w:rPr>
              <w:t>ISM and ISPS Designated Persons</w:t>
            </w:r>
            <w:r>
              <w:rPr>
                <w:bCs/>
                <w:sz w:val="20"/>
              </w:rPr>
              <w:t>.</w:t>
            </w:r>
          </w:p>
          <w:p w14:paraId="61871E50" w14:textId="77777777" w:rsidR="00F17566" w:rsidRDefault="00F17566" w:rsidP="00C17F6D">
            <w:pPr>
              <w:pStyle w:val="BodyText"/>
              <w:numPr>
                <w:ilvl w:val="0"/>
                <w:numId w:val="8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Coverage can be further extended to cover a named additional insured who is an employee, contractor or related company in connection with the insured services. </w:t>
            </w:r>
          </w:p>
          <w:p w14:paraId="17A2CC1D" w14:textId="77777777" w:rsidR="00F17566" w:rsidRPr="00721A45" w:rsidRDefault="00F17566" w:rsidP="00C17F6D">
            <w:pPr>
              <w:pStyle w:val="BodyText"/>
              <w:numPr>
                <w:ilvl w:val="0"/>
                <w:numId w:val="8"/>
              </w:numPr>
              <w:rPr>
                <w:bCs/>
                <w:sz w:val="20"/>
              </w:rPr>
            </w:pPr>
            <w:r w:rsidRPr="00C02735">
              <w:rPr>
                <w:bCs/>
                <w:sz w:val="20"/>
              </w:rPr>
              <w:t>It is suitable for marine professionals who wants comprehensive cover, providing financial protection and claims expenses, including defence costs.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F17566" w14:paraId="13D7FD47" w14:textId="77777777" w:rsidTr="00C17F6D">
        <w:tc>
          <w:tcPr>
            <w:tcW w:w="9830" w:type="dxa"/>
          </w:tcPr>
          <w:p w14:paraId="6F40610C" w14:textId="77777777" w:rsidR="00F17566" w:rsidRPr="00E33247" w:rsidRDefault="00F17566" w:rsidP="00C17F6D">
            <w:pPr>
              <w:pStyle w:val="BodyText"/>
              <w:rPr>
                <w:b/>
                <w:sz w:val="20"/>
              </w:rPr>
            </w:pPr>
          </w:p>
        </w:tc>
      </w:tr>
      <w:tr w:rsidR="00F17566" w14:paraId="36DA68BD" w14:textId="77777777" w:rsidTr="00C17F6D">
        <w:tc>
          <w:tcPr>
            <w:tcW w:w="9830" w:type="dxa"/>
          </w:tcPr>
          <w:p w14:paraId="601C4044" w14:textId="77777777" w:rsidR="00F17566" w:rsidRPr="00E33247" w:rsidRDefault="00F17566" w:rsidP="00C17F6D">
            <w:pPr>
              <w:pStyle w:val="BodyText"/>
              <w:rPr>
                <w:b/>
                <w:sz w:val="20"/>
              </w:rPr>
            </w:pPr>
            <w:r w:rsidRPr="00E33247">
              <w:rPr>
                <w:b/>
                <w:sz w:val="20"/>
              </w:rPr>
              <w:t>Who is the product not designed for?</w:t>
            </w:r>
          </w:p>
        </w:tc>
      </w:tr>
      <w:tr w:rsidR="00F17566" w14:paraId="7DCF64F2" w14:textId="77777777" w:rsidTr="00C17F6D">
        <w:tc>
          <w:tcPr>
            <w:tcW w:w="9830" w:type="dxa"/>
          </w:tcPr>
          <w:p w14:paraId="73F0F40C" w14:textId="77777777" w:rsidR="00F17566" w:rsidRPr="00721A45" w:rsidRDefault="00F17566" w:rsidP="00C17F6D">
            <w:pPr>
              <w:pStyle w:val="BodyText"/>
              <w:rPr>
                <w:bCs/>
                <w:sz w:val="20"/>
              </w:rPr>
            </w:pPr>
          </w:p>
        </w:tc>
      </w:tr>
      <w:tr w:rsidR="00F17566" w14:paraId="11DD27F6" w14:textId="77777777" w:rsidTr="00C17F6D">
        <w:tc>
          <w:tcPr>
            <w:tcW w:w="9830" w:type="dxa"/>
          </w:tcPr>
          <w:p w14:paraId="18608A08" w14:textId="527F5A59" w:rsidR="00F17566" w:rsidRDefault="00F17566" w:rsidP="00C17F6D">
            <w:pPr>
              <w:pStyle w:val="BodyText"/>
              <w:numPr>
                <w:ilvl w:val="0"/>
                <w:numId w:val="9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Any customers domiciled within a sanctioned </w:t>
            </w:r>
            <w:r w:rsidR="00C02735">
              <w:rPr>
                <w:bCs/>
                <w:sz w:val="20"/>
              </w:rPr>
              <w:t>territory.</w:t>
            </w:r>
          </w:p>
          <w:p w14:paraId="4A9C20F5" w14:textId="4AF37F17" w:rsidR="00F17566" w:rsidRDefault="00F17566" w:rsidP="00C17F6D">
            <w:pPr>
              <w:pStyle w:val="BodyText"/>
              <w:numPr>
                <w:ilvl w:val="0"/>
                <w:numId w:val="9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Customers who require physical/hands on services to be insured, such as repair, maintenance and installation </w:t>
            </w:r>
            <w:r w:rsidR="00C02735">
              <w:rPr>
                <w:bCs/>
                <w:sz w:val="20"/>
              </w:rPr>
              <w:t>works.</w:t>
            </w:r>
          </w:p>
          <w:p w14:paraId="62A93EDA" w14:textId="77777777" w:rsidR="00F17566" w:rsidRPr="00721A45" w:rsidRDefault="00F17566" w:rsidP="00C17F6D">
            <w:pPr>
              <w:pStyle w:val="BodyText"/>
              <w:numPr>
                <w:ilvl w:val="0"/>
                <w:numId w:val="9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Customers who have marine professional indemnity coverage elsewhere</w:t>
            </w:r>
          </w:p>
        </w:tc>
      </w:tr>
      <w:tr w:rsidR="00F17566" w14:paraId="3C6A85BD" w14:textId="77777777" w:rsidTr="00C17F6D">
        <w:tc>
          <w:tcPr>
            <w:tcW w:w="9830" w:type="dxa"/>
          </w:tcPr>
          <w:p w14:paraId="6C52B805" w14:textId="77777777" w:rsidR="00F17566" w:rsidRDefault="00F17566" w:rsidP="00C17F6D">
            <w:pPr>
              <w:pStyle w:val="BodyText"/>
              <w:ind w:left="720"/>
              <w:rPr>
                <w:bCs/>
                <w:sz w:val="20"/>
              </w:rPr>
            </w:pPr>
          </w:p>
        </w:tc>
      </w:tr>
      <w:tr w:rsidR="00F17566" w14:paraId="61628C59" w14:textId="77777777" w:rsidTr="00C17F6D">
        <w:tc>
          <w:tcPr>
            <w:tcW w:w="9830" w:type="dxa"/>
          </w:tcPr>
          <w:p w14:paraId="5D99691E" w14:textId="77777777" w:rsidR="00F17566" w:rsidRPr="00124E5C" w:rsidRDefault="00F17566" w:rsidP="00C17F6D">
            <w:pPr>
              <w:pStyle w:val="BodyText"/>
              <w:rPr>
                <w:b/>
                <w:sz w:val="20"/>
              </w:rPr>
            </w:pPr>
            <w:r w:rsidRPr="00124E5C">
              <w:rPr>
                <w:b/>
                <w:sz w:val="20"/>
              </w:rPr>
              <w:t>Can this product be sold without advice?</w:t>
            </w:r>
          </w:p>
        </w:tc>
      </w:tr>
      <w:tr w:rsidR="00F17566" w14:paraId="03A377F4" w14:textId="77777777" w:rsidTr="00C17F6D">
        <w:tc>
          <w:tcPr>
            <w:tcW w:w="9830" w:type="dxa"/>
          </w:tcPr>
          <w:p w14:paraId="1CAF141E" w14:textId="77777777" w:rsidR="00F17566" w:rsidRPr="00124E5C" w:rsidRDefault="00F17566" w:rsidP="00C17F6D">
            <w:pPr>
              <w:pStyle w:val="BodyText"/>
              <w:ind w:left="720"/>
              <w:rPr>
                <w:b/>
                <w:sz w:val="20"/>
              </w:rPr>
            </w:pPr>
          </w:p>
        </w:tc>
      </w:tr>
      <w:tr w:rsidR="00F17566" w14:paraId="1CF80DF5" w14:textId="77777777" w:rsidTr="00C17F6D">
        <w:tc>
          <w:tcPr>
            <w:tcW w:w="9830" w:type="dxa"/>
          </w:tcPr>
          <w:p w14:paraId="313D6FD5" w14:textId="5E18F281" w:rsidR="00F17566" w:rsidRPr="00DF0A6B" w:rsidRDefault="00F17566" w:rsidP="00C17F6D">
            <w:pPr>
              <w:pStyle w:val="BodyText"/>
              <w:numPr>
                <w:ilvl w:val="0"/>
                <w:numId w:val="9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This Marine Professional Indemnity product </w:t>
            </w:r>
            <w:r w:rsidR="003D0234">
              <w:rPr>
                <w:bCs/>
                <w:sz w:val="20"/>
              </w:rPr>
              <w:t xml:space="preserve">must </w:t>
            </w:r>
            <w:r>
              <w:rPr>
                <w:bCs/>
                <w:sz w:val="20"/>
              </w:rPr>
              <w:t>be sold with the advice provided by an insurance intermediary/broker</w:t>
            </w:r>
            <w:r w:rsidR="00282F72">
              <w:rPr>
                <w:bCs/>
                <w:sz w:val="20"/>
              </w:rPr>
              <w:t xml:space="preserve"> to support customers by helping them make informed decisions.</w:t>
            </w:r>
          </w:p>
        </w:tc>
      </w:tr>
    </w:tbl>
    <w:p w14:paraId="063762A3" w14:textId="77777777" w:rsidR="00E40707" w:rsidRDefault="00E4070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0"/>
      </w:tblGrid>
      <w:tr w:rsidR="00F17566" w14:paraId="649A3DD2" w14:textId="77777777" w:rsidTr="00C17F6D">
        <w:tc>
          <w:tcPr>
            <w:tcW w:w="9830" w:type="dxa"/>
          </w:tcPr>
          <w:p w14:paraId="733C1FBB" w14:textId="47D30A1A" w:rsidR="00F17566" w:rsidRPr="00DF0A6B" w:rsidRDefault="00F17566" w:rsidP="00C17F6D">
            <w:pPr>
              <w:pStyle w:val="BodyText"/>
              <w:ind w:left="720"/>
              <w:rPr>
                <w:b/>
                <w:sz w:val="20"/>
              </w:rPr>
            </w:pPr>
          </w:p>
        </w:tc>
      </w:tr>
      <w:tr w:rsidR="00F17566" w14:paraId="6F8B5ADD" w14:textId="77777777" w:rsidTr="00C17F6D">
        <w:tc>
          <w:tcPr>
            <w:tcW w:w="9830" w:type="dxa"/>
          </w:tcPr>
          <w:p w14:paraId="0C4288EB" w14:textId="77777777" w:rsidR="00F17566" w:rsidRPr="00DF0A6B" w:rsidRDefault="00F17566" w:rsidP="00C17F6D">
            <w:pPr>
              <w:pStyle w:val="BodyText"/>
              <w:rPr>
                <w:b/>
                <w:sz w:val="20"/>
              </w:rPr>
            </w:pPr>
            <w:r w:rsidRPr="00DF0A6B">
              <w:rPr>
                <w:b/>
                <w:sz w:val="20"/>
              </w:rPr>
              <w:t>How can this product be sold?</w:t>
            </w:r>
          </w:p>
        </w:tc>
      </w:tr>
      <w:tr w:rsidR="00F17566" w14:paraId="6AB810A0" w14:textId="77777777" w:rsidTr="00C17F6D">
        <w:tc>
          <w:tcPr>
            <w:tcW w:w="9830" w:type="dxa"/>
          </w:tcPr>
          <w:p w14:paraId="5029B2AA" w14:textId="77777777" w:rsidR="00F17566" w:rsidRDefault="00F17566" w:rsidP="00C17F6D">
            <w:pPr>
              <w:pStyle w:val="BodyText"/>
              <w:rPr>
                <w:bCs/>
                <w:sz w:val="20"/>
              </w:rPr>
            </w:pPr>
          </w:p>
        </w:tc>
      </w:tr>
      <w:tr w:rsidR="00F17566" w14:paraId="20B74B18" w14:textId="77777777" w:rsidTr="00C17F6D">
        <w:tc>
          <w:tcPr>
            <w:tcW w:w="9830" w:type="dxa"/>
          </w:tcPr>
          <w:p w14:paraId="3262C768" w14:textId="77777777" w:rsidR="00F17566" w:rsidRDefault="00F17566" w:rsidP="00C17F6D">
            <w:pPr>
              <w:pStyle w:val="BodyText"/>
              <w:numPr>
                <w:ilvl w:val="0"/>
                <w:numId w:val="9"/>
              </w:numPr>
              <w:rPr>
                <w:bCs/>
                <w:sz w:val="20"/>
              </w:rPr>
            </w:pPr>
            <w:r w:rsidRPr="003A54C3">
              <w:rPr>
                <w:bCs/>
                <w:sz w:val="20"/>
              </w:rPr>
              <w:t>Sales journeys must identify customer eligibility and ensure that key information and choices to be made are presented to customers in a way that supports a customer</w:t>
            </w:r>
            <w:r>
              <w:rPr>
                <w:bCs/>
                <w:sz w:val="20"/>
              </w:rPr>
              <w:t xml:space="preserve"> </w:t>
            </w:r>
            <w:r w:rsidRPr="003A54C3">
              <w:rPr>
                <w:bCs/>
                <w:sz w:val="20"/>
              </w:rPr>
              <w:t>through the process of understanding core cover and configuring optional elements of</w:t>
            </w:r>
            <w:r>
              <w:rPr>
                <w:bCs/>
                <w:sz w:val="20"/>
              </w:rPr>
              <w:t xml:space="preserve"> </w:t>
            </w:r>
            <w:r w:rsidRPr="003A54C3">
              <w:rPr>
                <w:bCs/>
                <w:sz w:val="20"/>
              </w:rPr>
              <w:t>insurance to suit their specific demands and needs.</w:t>
            </w:r>
          </w:p>
          <w:p w14:paraId="1288AF3C" w14:textId="111C769C" w:rsidR="00F17566" w:rsidRDefault="00F17566" w:rsidP="00C17F6D">
            <w:pPr>
              <w:pStyle w:val="BodyText"/>
              <w:numPr>
                <w:ilvl w:val="0"/>
                <w:numId w:val="9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Freeboard Maritime’s Marine Professional Indemnity product </w:t>
            </w:r>
            <w:r w:rsidR="00597BC8">
              <w:rPr>
                <w:bCs/>
                <w:sz w:val="20"/>
              </w:rPr>
              <w:t>must</w:t>
            </w:r>
            <w:r>
              <w:rPr>
                <w:bCs/>
                <w:sz w:val="20"/>
              </w:rPr>
              <w:t xml:space="preserve"> be sold </w:t>
            </w:r>
            <w:r w:rsidR="00597BC8">
              <w:rPr>
                <w:bCs/>
                <w:sz w:val="20"/>
              </w:rPr>
              <w:t>via</w:t>
            </w:r>
            <w:r>
              <w:rPr>
                <w:bCs/>
                <w:sz w:val="20"/>
              </w:rPr>
              <w:t xml:space="preserve"> insurance intermediaries and/or brokers face to face, via telephone, electronic communication or postal application. </w:t>
            </w:r>
          </w:p>
        </w:tc>
      </w:tr>
      <w:tr w:rsidR="00F17566" w14:paraId="546279E2" w14:textId="77777777" w:rsidTr="00C17F6D">
        <w:tc>
          <w:tcPr>
            <w:tcW w:w="9830" w:type="dxa"/>
          </w:tcPr>
          <w:p w14:paraId="32C89756" w14:textId="77777777" w:rsidR="00F17566" w:rsidRDefault="00F17566" w:rsidP="00C17F6D">
            <w:pPr>
              <w:pStyle w:val="BodyText"/>
              <w:rPr>
                <w:bCs/>
                <w:sz w:val="20"/>
              </w:rPr>
            </w:pPr>
          </w:p>
        </w:tc>
      </w:tr>
      <w:tr w:rsidR="00F17566" w14:paraId="2957C46D" w14:textId="77777777" w:rsidTr="00C17F6D">
        <w:tc>
          <w:tcPr>
            <w:tcW w:w="9830" w:type="dxa"/>
          </w:tcPr>
          <w:p w14:paraId="60EAC36B" w14:textId="77777777" w:rsidR="00F17566" w:rsidRPr="00922450" w:rsidRDefault="00F17566" w:rsidP="00C17F6D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Optional additional covers/extensions which are available with this product:</w:t>
            </w:r>
          </w:p>
        </w:tc>
      </w:tr>
      <w:tr w:rsidR="00F17566" w14:paraId="45EFE123" w14:textId="77777777" w:rsidTr="00C17F6D">
        <w:tc>
          <w:tcPr>
            <w:tcW w:w="9830" w:type="dxa"/>
          </w:tcPr>
          <w:p w14:paraId="27175A4C" w14:textId="77777777" w:rsidR="00F17566" w:rsidRDefault="00F17566" w:rsidP="00C17F6D">
            <w:pPr>
              <w:pStyle w:val="BodyText"/>
              <w:rPr>
                <w:bCs/>
                <w:sz w:val="20"/>
              </w:rPr>
            </w:pPr>
          </w:p>
        </w:tc>
      </w:tr>
      <w:tr w:rsidR="00F17566" w14:paraId="3F33426B" w14:textId="77777777" w:rsidTr="00C17F6D">
        <w:tc>
          <w:tcPr>
            <w:tcW w:w="9830" w:type="dxa"/>
          </w:tcPr>
          <w:p w14:paraId="1E9CD927" w14:textId="77777777" w:rsidR="00F17566" w:rsidRPr="00B909C1" w:rsidRDefault="00F17566" w:rsidP="00C17F6D">
            <w:pPr>
              <w:pStyle w:val="BodyText"/>
              <w:numPr>
                <w:ilvl w:val="0"/>
                <w:numId w:val="10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Cargo Liability Insurance</w:t>
            </w:r>
          </w:p>
          <w:p w14:paraId="0243740E" w14:textId="3512D9B7" w:rsidR="00F17566" w:rsidRDefault="00F17566" w:rsidP="00C17F6D">
            <w:pPr>
              <w:pStyle w:val="BodyText"/>
              <w:ind w:left="72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This optional additional cover/extension is designed to protect </w:t>
            </w:r>
            <w:r w:rsidR="006163F2">
              <w:rPr>
                <w:bCs/>
                <w:sz w:val="20"/>
              </w:rPr>
              <w:t>customers</w:t>
            </w:r>
            <w:r>
              <w:rPr>
                <w:bCs/>
                <w:sz w:val="20"/>
              </w:rPr>
              <w:t xml:space="preserve"> </w:t>
            </w:r>
            <w:r w:rsidRPr="004850E8">
              <w:rPr>
                <w:bCs/>
                <w:sz w:val="20"/>
              </w:rPr>
              <w:t>in the event</w:t>
            </w:r>
            <w:r>
              <w:rPr>
                <w:bCs/>
                <w:sz w:val="20"/>
              </w:rPr>
              <w:t xml:space="preserve"> </w:t>
            </w:r>
            <w:r w:rsidRPr="004850E8">
              <w:rPr>
                <w:bCs/>
                <w:sz w:val="20"/>
              </w:rPr>
              <w:t xml:space="preserve">of physical loss of or physical damage to cargo whilst under </w:t>
            </w:r>
            <w:r w:rsidR="008B7913">
              <w:rPr>
                <w:bCs/>
                <w:sz w:val="20"/>
              </w:rPr>
              <w:t>their</w:t>
            </w:r>
            <w:r w:rsidRPr="004850E8">
              <w:rPr>
                <w:bCs/>
                <w:sz w:val="20"/>
              </w:rPr>
              <w:t xml:space="preserve"> care, custody and control.</w:t>
            </w:r>
          </w:p>
          <w:p w14:paraId="70C7EA1D" w14:textId="0DEB0E13" w:rsidR="00F17566" w:rsidRDefault="00F17566" w:rsidP="00C17F6D">
            <w:pPr>
              <w:pStyle w:val="BodyText"/>
              <w:ind w:left="72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This cover is designed for those </w:t>
            </w:r>
            <w:r w:rsidR="008B7913">
              <w:rPr>
                <w:bCs/>
                <w:sz w:val="20"/>
              </w:rPr>
              <w:t>customers</w:t>
            </w:r>
            <w:r>
              <w:rPr>
                <w:bCs/>
                <w:sz w:val="20"/>
              </w:rPr>
              <w:t xml:space="preserve"> who</w:t>
            </w:r>
            <w:r w:rsidR="008B7913">
              <w:rPr>
                <w:bCs/>
                <w:sz w:val="20"/>
              </w:rPr>
              <w:t xml:space="preserve"> are liable for loss of or damage to </w:t>
            </w:r>
            <w:r>
              <w:rPr>
                <w:bCs/>
                <w:sz w:val="20"/>
              </w:rPr>
              <w:t xml:space="preserve">third party owned goods. </w:t>
            </w:r>
          </w:p>
          <w:p w14:paraId="406D611C" w14:textId="77777777" w:rsidR="00F17566" w:rsidRDefault="00F17566" w:rsidP="00C17F6D">
            <w:pPr>
              <w:pStyle w:val="BodyText"/>
              <w:ind w:left="72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This cover is not designed for those who do not take care, custody and control of third party owned goods. </w:t>
            </w:r>
          </w:p>
        </w:tc>
      </w:tr>
      <w:bookmarkEnd w:id="0"/>
    </w:tbl>
    <w:p w14:paraId="5FBC486B" w14:textId="3029AC70" w:rsidR="00127E34" w:rsidRPr="00C561F6" w:rsidRDefault="00127E34" w:rsidP="00C561F6">
      <w:pPr>
        <w:pStyle w:val="BodyText"/>
        <w:tabs>
          <w:tab w:val="left" w:pos="3068"/>
        </w:tabs>
        <w:rPr>
          <w:b/>
          <w:sz w:val="20"/>
        </w:rPr>
      </w:pPr>
    </w:p>
    <w:sectPr w:rsidR="00127E34" w:rsidRPr="00C561F6">
      <w:headerReference w:type="default" r:id="rId11"/>
      <w:type w:val="continuous"/>
      <w:pgSz w:w="11900" w:h="16850"/>
      <w:pgMar w:top="0" w:right="1200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46CCC" w14:textId="77777777" w:rsidR="00255F48" w:rsidRDefault="00255F48" w:rsidP="00FA043C">
      <w:r>
        <w:separator/>
      </w:r>
    </w:p>
  </w:endnote>
  <w:endnote w:type="continuationSeparator" w:id="0">
    <w:p w14:paraId="37DD04E6" w14:textId="77777777" w:rsidR="00255F48" w:rsidRDefault="00255F48" w:rsidP="00F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1C42A" w14:textId="77777777" w:rsidR="00255F48" w:rsidRDefault="00255F48" w:rsidP="00FA043C">
      <w:r>
        <w:separator/>
      </w:r>
    </w:p>
  </w:footnote>
  <w:footnote w:type="continuationSeparator" w:id="0">
    <w:p w14:paraId="36375CE7" w14:textId="77777777" w:rsidR="00255F48" w:rsidRDefault="00255F48" w:rsidP="00F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D29D" w14:textId="286EE152" w:rsidR="00FA043C" w:rsidRDefault="00FA043C">
    <w:pPr>
      <w:pStyle w:val="Header"/>
    </w:pPr>
    <w:r>
      <w:rPr>
        <w:rFonts w:ascii="Times New Roman"/>
        <w:noProof/>
        <w:sz w:val="21"/>
      </w:rPr>
      <w:drawing>
        <wp:anchor distT="0" distB="0" distL="114300" distR="114300" simplePos="0" relativeHeight="251660800" behindDoc="1" locked="0" layoutInCell="1" allowOverlap="1" wp14:anchorId="36CA81E2" wp14:editId="6D3ACF72">
          <wp:simplePos x="0" y="0"/>
          <wp:positionH relativeFrom="margin">
            <wp:posOffset>1963972</wp:posOffset>
          </wp:positionH>
          <wp:positionV relativeFrom="margin">
            <wp:posOffset>-1209068</wp:posOffset>
          </wp:positionV>
          <wp:extent cx="2518410" cy="177292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29"/>
                  <a:stretch/>
                </pic:blipFill>
                <pic:spPr bwMode="auto">
                  <a:xfrm>
                    <a:off x="0" y="0"/>
                    <a:ext cx="2518410" cy="177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BEA4D12" wp14:editId="3F883848">
              <wp:simplePos x="0" y="0"/>
              <wp:positionH relativeFrom="column">
                <wp:posOffset>-914400</wp:posOffset>
              </wp:positionH>
              <wp:positionV relativeFrom="paragraph">
                <wp:posOffset>-453224</wp:posOffset>
              </wp:positionV>
              <wp:extent cx="8269605" cy="1186180"/>
              <wp:effectExtent l="0" t="0" r="17145" b="139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69605" cy="1186180"/>
                      </a:xfrm>
                      <a:prstGeom prst="rect">
                        <a:avLst/>
                      </a:prstGeom>
                      <a:solidFill>
                        <a:srgbClr val="02082D"/>
                      </a:solidFill>
                      <a:ln>
                        <a:solidFill>
                          <a:srgbClr val="02082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3D8F60" id="Rectangle 1" o:spid="_x0000_s1026" style="position:absolute;margin-left:-1in;margin-top:-35.7pt;width:651.15pt;height:93.4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" fillcolor="#02082d" strokecolor="#02082d" strokeweight="2pt"/>
          </w:pict>
        </mc:Fallback>
      </mc:AlternateContent>
    </w:r>
  </w:p>
  <w:p w14:paraId="74D41839" w14:textId="20098638" w:rsidR="00FA043C" w:rsidRDefault="00FA043C">
    <w:pPr>
      <w:pStyle w:val="Header"/>
    </w:pPr>
  </w:p>
  <w:p w14:paraId="4FE1500D" w14:textId="77777777" w:rsidR="00FA043C" w:rsidRDefault="00FA043C">
    <w:pPr>
      <w:pStyle w:val="Header"/>
    </w:pPr>
  </w:p>
  <w:p w14:paraId="6393FD08" w14:textId="77777777" w:rsidR="00FA043C" w:rsidRDefault="00FA043C">
    <w:pPr>
      <w:pStyle w:val="Header"/>
    </w:pPr>
  </w:p>
  <w:p w14:paraId="748F01E5" w14:textId="77777777" w:rsidR="00FA043C" w:rsidRDefault="00FA0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E7940"/>
    <w:multiLevelType w:val="hybridMultilevel"/>
    <w:tmpl w:val="BAC23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0CA0"/>
    <w:multiLevelType w:val="hybridMultilevel"/>
    <w:tmpl w:val="BB6CA97A"/>
    <w:lvl w:ilvl="0" w:tplc="C812DF4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2131"/>
    <w:multiLevelType w:val="hybridMultilevel"/>
    <w:tmpl w:val="CB504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B6A46"/>
    <w:multiLevelType w:val="hybridMultilevel"/>
    <w:tmpl w:val="5866CFE6"/>
    <w:lvl w:ilvl="0" w:tplc="F7E6B6C0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8E765B"/>
    <w:multiLevelType w:val="hybridMultilevel"/>
    <w:tmpl w:val="B10CA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1F1E"/>
    <w:multiLevelType w:val="hybridMultilevel"/>
    <w:tmpl w:val="F5F44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97825"/>
    <w:multiLevelType w:val="hybridMultilevel"/>
    <w:tmpl w:val="E3BC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205FB"/>
    <w:multiLevelType w:val="hybridMultilevel"/>
    <w:tmpl w:val="3FCAB484"/>
    <w:lvl w:ilvl="0" w:tplc="1546844E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3508C8"/>
    <w:multiLevelType w:val="hybridMultilevel"/>
    <w:tmpl w:val="20A23CC0"/>
    <w:lvl w:ilvl="0" w:tplc="F7E6B6C0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178B2"/>
    <w:multiLevelType w:val="hybridMultilevel"/>
    <w:tmpl w:val="0DD63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291787">
    <w:abstractNumId w:val="9"/>
  </w:num>
  <w:num w:numId="2" w16cid:durableId="1569538799">
    <w:abstractNumId w:val="7"/>
  </w:num>
  <w:num w:numId="3" w16cid:durableId="965888620">
    <w:abstractNumId w:val="1"/>
  </w:num>
  <w:num w:numId="4" w16cid:durableId="428549942">
    <w:abstractNumId w:val="3"/>
  </w:num>
  <w:num w:numId="5" w16cid:durableId="1235166479">
    <w:abstractNumId w:val="8"/>
  </w:num>
  <w:num w:numId="6" w16cid:durableId="406616811">
    <w:abstractNumId w:val="6"/>
  </w:num>
  <w:num w:numId="7" w16cid:durableId="97452836">
    <w:abstractNumId w:val="4"/>
  </w:num>
  <w:num w:numId="8" w16cid:durableId="1066757712">
    <w:abstractNumId w:val="5"/>
  </w:num>
  <w:num w:numId="9" w16cid:durableId="309213461">
    <w:abstractNumId w:val="2"/>
  </w:num>
  <w:num w:numId="10" w16cid:durableId="130550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34"/>
    <w:rsid w:val="000C2947"/>
    <w:rsid w:val="00124E5C"/>
    <w:rsid w:val="00127E34"/>
    <w:rsid w:val="00164827"/>
    <w:rsid w:val="00166BA0"/>
    <w:rsid w:val="0016766F"/>
    <w:rsid w:val="001956ED"/>
    <w:rsid w:val="00196805"/>
    <w:rsid w:val="001B38CA"/>
    <w:rsid w:val="001D17C4"/>
    <w:rsid w:val="001F34D2"/>
    <w:rsid w:val="001F57D9"/>
    <w:rsid w:val="002002AB"/>
    <w:rsid w:val="00200795"/>
    <w:rsid w:val="00210889"/>
    <w:rsid w:val="00255F48"/>
    <w:rsid w:val="00265CC3"/>
    <w:rsid w:val="00282F72"/>
    <w:rsid w:val="00284907"/>
    <w:rsid w:val="002A2E2B"/>
    <w:rsid w:val="002F45D7"/>
    <w:rsid w:val="003100E0"/>
    <w:rsid w:val="003165CA"/>
    <w:rsid w:val="0034643E"/>
    <w:rsid w:val="00354AE2"/>
    <w:rsid w:val="00363BCD"/>
    <w:rsid w:val="00391A11"/>
    <w:rsid w:val="003A1661"/>
    <w:rsid w:val="003A54C3"/>
    <w:rsid w:val="003B5295"/>
    <w:rsid w:val="003B7670"/>
    <w:rsid w:val="003C2B2B"/>
    <w:rsid w:val="003D0234"/>
    <w:rsid w:val="003D6052"/>
    <w:rsid w:val="003E2C90"/>
    <w:rsid w:val="003F695A"/>
    <w:rsid w:val="004350E0"/>
    <w:rsid w:val="0045130E"/>
    <w:rsid w:val="00461D82"/>
    <w:rsid w:val="0046324C"/>
    <w:rsid w:val="0046438E"/>
    <w:rsid w:val="004657DF"/>
    <w:rsid w:val="004850E8"/>
    <w:rsid w:val="0049155F"/>
    <w:rsid w:val="004D39EE"/>
    <w:rsid w:val="004D457A"/>
    <w:rsid w:val="004E39DA"/>
    <w:rsid w:val="00513169"/>
    <w:rsid w:val="00514E7F"/>
    <w:rsid w:val="005560E6"/>
    <w:rsid w:val="0057195B"/>
    <w:rsid w:val="00577CF2"/>
    <w:rsid w:val="00583119"/>
    <w:rsid w:val="00597BC8"/>
    <w:rsid w:val="005A2700"/>
    <w:rsid w:val="005B09BA"/>
    <w:rsid w:val="005C56A0"/>
    <w:rsid w:val="005D1B27"/>
    <w:rsid w:val="005E29FA"/>
    <w:rsid w:val="006026E0"/>
    <w:rsid w:val="006163F2"/>
    <w:rsid w:val="0065421C"/>
    <w:rsid w:val="006549C0"/>
    <w:rsid w:val="00680B23"/>
    <w:rsid w:val="00682C17"/>
    <w:rsid w:val="0068631A"/>
    <w:rsid w:val="00705020"/>
    <w:rsid w:val="00721A45"/>
    <w:rsid w:val="007434FF"/>
    <w:rsid w:val="00774B67"/>
    <w:rsid w:val="00777350"/>
    <w:rsid w:val="0078606E"/>
    <w:rsid w:val="007A4DE5"/>
    <w:rsid w:val="007A6DAB"/>
    <w:rsid w:val="007C00BF"/>
    <w:rsid w:val="007E191D"/>
    <w:rsid w:val="007E2C73"/>
    <w:rsid w:val="007F115E"/>
    <w:rsid w:val="00860F94"/>
    <w:rsid w:val="00863608"/>
    <w:rsid w:val="00876276"/>
    <w:rsid w:val="008A537C"/>
    <w:rsid w:val="008B08B6"/>
    <w:rsid w:val="008B7913"/>
    <w:rsid w:val="008C5DEA"/>
    <w:rsid w:val="008D035E"/>
    <w:rsid w:val="008D3771"/>
    <w:rsid w:val="008D5DF1"/>
    <w:rsid w:val="008D78E8"/>
    <w:rsid w:val="008E14EE"/>
    <w:rsid w:val="008E1985"/>
    <w:rsid w:val="008F0DA8"/>
    <w:rsid w:val="008F4A2D"/>
    <w:rsid w:val="00914D1F"/>
    <w:rsid w:val="00922450"/>
    <w:rsid w:val="00947E57"/>
    <w:rsid w:val="00954202"/>
    <w:rsid w:val="0096141B"/>
    <w:rsid w:val="0099514D"/>
    <w:rsid w:val="009B2393"/>
    <w:rsid w:val="009C4261"/>
    <w:rsid w:val="009E3091"/>
    <w:rsid w:val="00A06D70"/>
    <w:rsid w:val="00A74E49"/>
    <w:rsid w:val="00A9352A"/>
    <w:rsid w:val="00AC4096"/>
    <w:rsid w:val="00AD1FE3"/>
    <w:rsid w:val="00AE196F"/>
    <w:rsid w:val="00AE5657"/>
    <w:rsid w:val="00AF275D"/>
    <w:rsid w:val="00AF32FF"/>
    <w:rsid w:val="00B27AF4"/>
    <w:rsid w:val="00B70735"/>
    <w:rsid w:val="00B87371"/>
    <w:rsid w:val="00B909C1"/>
    <w:rsid w:val="00BF60EB"/>
    <w:rsid w:val="00C02735"/>
    <w:rsid w:val="00C06591"/>
    <w:rsid w:val="00C24467"/>
    <w:rsid w:val="00C328E1"/>
    <w:rsid w:val="00C37BFD"/>
    <w:rsid w:val="00C439B7"/>
    <w:rsid w:val="00C561F6"/>
    <w:rsid w:val="00C64F7A"/>
    <w:rsid w:val="00C8599C"/>
    <w:rsid w:val="00CC5491"/>
    <w:rsid w:val="00CD7CA2"/>
    <w:rsid w:val="00CF16AA"/>
    <w:rsid w:val="00CF533E"/>
    <w:rsid w:val="00D00C9D"/>
    <w:rsid w:val="00D01D66"/>
    <w:rsid w:val="00D109A3"/>
    <w:rsid w:val="00D125A0"/>
    <w:rsid w:val="00D30CD5"/>
    <w:rsid w:val="00D3747A"/>
    <w:rsid w:val="00D5552A"/>
    <w:rsid w:val="00D75D81"/>
    <w:rsid w:val="00D94FEE"/>
    <w:rsid w:val="00DD70AA"/>
    <w:rsid w:val="00DF0A6B"/>
    <w:rsid w:val="00DF6997"/>
    <w:rsid w:val="00E12E18"/>
    <w:rsid w:val="00E21DF3"/>
    <w:rsid w:val="00E262F0"/>
    <w:rsid w:val="00E2697C"/>
    <w:rsid w:val="00E31E30"/>
    <w:rsid w:val="00E33247"/>
    <w:rsid w:val="00E40707"/>
    <w:rsid w:val="00E736A6"/>
    <w:rsid w:val="00E74903"/>
    <w:rsid w:val="00E829D7"/>
    <w:rsid w:val="00EA1CB6"/>
    <w:rsid w:val="00EA2E61"/>
    <w:rsid w:val="00EB672D"/>
    <w:rsid w:val="00EC0033"/>
    <w:rsid w:val="00EC0655"/>
    <w:rsid w:val="00EC38EA"/>
    <w:rsid w:val="00EF4ECC"/>
    <w:rsid w:val="00F05276"/>
    <w:rsid w:val="00F17566"/>
    <w:rsid w:val="00F40B0D"/>
    <w:rsid w:val="00F50C7B"/>
    <w:rsid w:val="00F83E68"/>
    <w:rsid w:val="00F930F5"/>
    <w:rsid w:val="00F93743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E875"/>
  <w15:docId w15:val="{29196CBB-2091-4BF5-AB57-E167F343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2"/>
      <w:ind w:left="16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0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3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3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B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C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EEAEC02295D4A86CF6C567D4BC10D" ma:contentTypeVersion="12" ma:contentTypeDescription="Create a new document." ma:contentTypeScope="" ma:versionID="c70cc3fb0bfce57f3b1a4eafe11c1ee5">
  <xsd:schema xmlns:xsd="http://www.w3.org/2001/XMLSchema" xmlns:xs="http://www.w3.org/2001/XMLSchema" xmlns:p="http://schemas.microsoft.com/office/2006/metadata/properties" xmlns:ns2="353a24b6-8356-40df-8cd1-250079c7b824" xmlns:ns3="69beb413-0af3-48bb-8108-ba08719f14e7" targetNamespace="http://schemas.microsoft.com/office/2006/metadata/properties" ma:root="true" ma:fieldsID="3835a92f3aff60770859297e01bf95b1" ns2:_="" ns3:_="">
    <xsd:import namespace="353a24b6-8356-40df-8cd1-250079c7b824"/>
    <xsd:import namespace="69beb413-0af3-48bb-8108-ba08719f1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a24b6-8356-40df-8cd1-250079c7b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9342fe-2eb7-40be-8784-bba5e8357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b413-0af3-48bb-8108-ba08719f14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d4bad2-f696-4be2-b35b-240d346ce663}" ma:internalName="TaxCatchAll" ma:showField="CatchAllData" ma:web="69beb413-0af3-48bb-8108-ba08719f1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3a24b6-8356-40df-8cd1-250079c7b824">
      <Terms xmlns="http://schemas.microsoft.com/office/infopath/2007/PartnerControls"/>
    </lcf76f155ced4ddcb4097134ff3c332f>
    <TaxCatchAll xmlns="69beb413-0af3-48bb-8108-ba08719f14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82299-A621-4702-B7ED-1890E77B8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a24b6-8356-40df-8cd1-250079c7b824"/>
    <ds:schemaRef ds:uri="69beb413-0af3-48bb-8108-ba08719f1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1FEEE-1FBE-4440-BB2E-C2D3287C1D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767A2-6A79-4F95-B86A-CF38F583A121}">
  <ds:schemaRefs>
    <ds:schemaRef ds:uri="http://schemas.microsoft.com/office/2006/metadata/properties"/>
    <ds:schemaRef ds:uri="http://schemas.microsoft.com/office/infopath/2007/PartnerControls"/>
    <ds:schemaRef ds:uri="353a24b6-8356-40df-8cd1-250079c7b824"/>
    <ds:schemaRef ds:uri="69beb413-0af3-48bb-8108-ba08719f14e7"/>
  </ds:schemaRefs>
</ds:datastoreItem>
</file>

<file path=customXml/itemProps4.xml><?xml version="1.0" encoding="utf-8"?>
<ds:datastoreItem xmlns:ds="http://schemas.openxmlformats.org/officeDocument/2006/customXml" ds:itemID="{A335052B-739A-43E8-A9E0-24224FE04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Batterbury</dc:creator>
  <cp:lastModifiedBy>Claudia Wilby</cp:lastModifiedBy>
  <cp:revision>2</cp:revision>
  <cp:lastPrinted>2022-09-02T09:36:00Z</cp:lastPrinted>
  <dcterms:created xsi:type="dcterms:W3CDTF">2024-11-25T12:47:00Z</dcterms:created>
  <dcterms:modified xsi:type="dcterms:W3CDTF">2024-11-25T12:47:00Z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2022-09-01T00:00:00Z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/>
  </property>
  <property fmtid="{D5CDD505-2E9C-101B-9397-08002B2CF9AE}" pid="7" name="ContentTypeId">
    <vt:lpwstr>0x0101008D5EEAEC02295D4A86CF6C567D4BC10D</vt:lpwstr>
  </property>
  <property fmtid="{D5CDD505-2E9C-101B-9397-08002B2CF9AE}" pid="8" name="MediaServiceImageTags">
    <vt:lpwstr/>
  </property>
</Properties>
</file>